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854" w:rsidRPr="003D3854" w:rsidRDefault="003D3854" w:rsidP="003D3854">
      <w:pPr>
        <w:widowControl/>
        <w:spacing w:line="480" w:lineRule="auto"/>
        <w:ind w:firstLine="562"/>
        <w:jc w:val="center"/>
        <w:rPr>
          <w:rFonts w:ascii="仿宋_GB2312" w:eastAsia="仿宋_GB2312" w:hAnsi="Times New Roman" w:cs="Times New Roman"/>
          <w:color w:val="333333"/>
          <w:kern w:val="0"/>
          <w:sz w:val="18"/>
          <w:szCs w:val="18"/>
        </w:rPr>
      </w:pPr>
      <w:bookmarkStart w:id="0" w:name="_GoBack"/>
      <w:r w:rsidRPr="003D3854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浙江大学获奖作品</w:t>
      </w:r>
      <w:r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名单及</w:t>
      </w:r>
      <w:r w:rsidRPr="003D3854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简介</w:t>
      </w:r>
    </w:p>
    <w:bookmarkEnd w:id="0"/>
    <w:p w:rsidR="003D3854" w:rsidRPr="003D3854" w:rsidRDefault="003D3854" w:rsidP="003D3854">
      <w:pPr>
        <w:widowControl/>
        <w:spacing w:line="480" w:lineRule="auto"/>
        <w:ind w:firstLine="562"/>
        <w:jc w:val="left"/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特等奖：</w:t>
      </w:r>
    </w:p>
    <w:p w:rsidR="003D3854" w:rsidRPr="003D3854" w:rsidRDefault="003D3854" w:rsidP="003D3854">
      <w:pPr>
        <w:widowControl/>
        <w:spacing w:line="480" w:lineRule="auto"/>
        <w:ind w:firstLine="562"/>
        <w:jc w:val="left"/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《管道医生——智能泄漏检测定位球》</w:t>
      </w:r>
    </w:p>
    <w:p w:rsidR="003D3854" w:rsidRPr="003D3854" w:rsidRDefault="003D3854" w:rsidP="003D3854">
      <w:pPr>
        <w:widowControl/>
        <w:spacing w:line="480" w:lineRule="auto"/>
        <w:ind w:firstLine="560"/>
        <w:jc w:val="left"/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该项目研发了一种智能泄漏检测定位球，可对城市地下供水管网漏损点精准检测与定位，并对管线布局进行三维地图构建。提出了多传感器融合的管内泄漏检测方法；</w:t>
      </w:r>
      <w:proofErr w:type="gramStart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采用惯导和</w:t>
      </w:r>
      <w:proofErr w:type="gramEnd"/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RFID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组合定位方式，进一步提高泄漏点定位的精确度；结合数据库技术和三维技术，直观显示地下管线的空间层次和位置，以仿真方式形象展现地下管线的埋深、形状及走向。系统具有灵敏度高、定位准确、安全便捷等优势，有助于提高城市管网管理水平。受理国家发明专利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2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项、实用新型专利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1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项，授权软件著作权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4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项，曾获得第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45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届日内瓦国际发明展最高荣誉：特别嘉许金奖。</w:t>
      </w:r>
    </w:p>
    <w:p w:rsidR="003D3854" w:rsidRPr="003D3854" w:rsidRDefault="003D3854" w:rsidP="003D3854">
      <w:pPr>
        <w:widowControl/>
        <w:spacing w:line="480" w:lineRule="auto"/>
        <w:ind w:firstLine="560"/>
        <w:jc w:val="left"/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  <w:t> </w:t>
      </w:r>
    </w:p>
    <w:p w:rsidR="003D3854" w:rsidRPr="003D3854" w:rsidRDefault="003D3854" w:rsidP="003D3854">
      <w:pPr>
        <w:widowControl/>
        <w:spacing w:line="480" w:lineRule="auto"/>
        <w:ind w:firstLine="562"/>
        <w:jc w:val="left"/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一等奖:</w:t>
      </w:r>
    </w:p>
    <w:p w:rsidR="003D3854" w:rsidRPr="003D3854" w:rsidRDefault="003D3854" w:rsidP="003D3854">
      <w:pPr>
        <w:widowControl/>
        <w:spacing w:line="480" w:lineRule="auto"/>
        <w:ind w:firstLine="562"/>
        <w:jc w:val="left"/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《基于相位调控的新型光束传输特性的理论研究与实验验证》</w:t>
      </w:r>
    </w:p>
    <w:p w:rsidR="003D3854" w:rsidRPr="003D3854" w:rsidRDefault="003D3854" w:rsidP="003D3854">
      <w:pPr>
        <w:widowControl/>
        <w:spacing w:line="480" w:lineRule="auto"/>
        <w:ind w:firstLine="560"/>
        <w:jc w:val="left"/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该项目提出了三种新型光束，并且提出来了级数解法来求解</w:t>
      </w:r>
      <w:proofErr w:type="gramStart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复杂光场的</w:t>
      </w:r>
      <w:proofErr w:type="gramEnd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问题。一是在理论上结合了波动光学中的菲涅耳衍射的基本原理，通过计算机程序模拟以及实验验证，证明了通过求和级数来</w:t>
      </w:r>
      <w:proofErr w:type="gramStart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表达光场分布</w:t>
      </w:r>
      <w:proofErr w:type="gramEnd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的方法是可行的；二是给出了一种新颖的模拟光束传输变换的方法，而这种算法将可以</w:t>
      </w:r>
      <w:proofErr w:type="gramStart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提高光场分布</w:t>
      </w:r>
      <w:proofErr w:type="gramEnd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的计算准确度。研究成果以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4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篇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SCI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论文的形式发表在国际著名期刊上。</w:t>
      </w:r>
    </w:p>
    <w:p w:rsidR="003D3854" w:rsidRPr="003D3854" w:rsidRDefault="003D3854" w:rsidP="003D3854">
      <w:pPr>
        <w:widowControl/>
        <w:spacing w:line="480" w:lineRule="auto"/>
        <w:ind w:firstLine="560"/>
        <w:jc w:val="left"/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  <w:t> </w:t>
      </w:r>
    </w:p>
    <w:p w:rsidR="003D3854" w:rsidRPr="003D3854" w:rsidRDefault="003D3854" w:rsidP="003D3854">
      <w:pPr>
        <w:widowControl/>
        <w:spacing w:line="480" w:lineRule="auto"/>
        <w:ind w:firstLine="562"/>
        <w:jc w:val="left"/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lastRenderedPageBreak/>
        <w:t>《关于下一代高能量密度、大功率锂二次电池电极材料的研究》</w:t>
      </w:r>
    </w:p>
    <w:p w:rsidR="003D3854" w:rsidRPr="003D3854" w:rsidRDefault="003D3854" w:rsidP="003D3854">
      <w:pPr>
        <w:widowControl/>
        <w:spacing w:line="480" w:lineRule="auto"/>
        <w:ind w:firstLine="560"/>
        <w:jc w:val="left"/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该作品致力于利用纳米技术解决</w:t>
      </w:r>
      <w:proofErr w:type="gramStart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锂</w:t>
      </w:r>
      <w:proofErr w:type="gramEnd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二次电池领域相关技术难题，提升</w:t>
      </w:r>
      <w:proofErr w:type="gramStart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锂</w:t>
      </w:r>
      <w:proofErr w:type="gramEnd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二次电池能量密度以及安全性能。通过制备复杂结构的金属氧化物纳米纤维，解决高能量密度</w:t>
      </w:r>
      <w:proofErr w:type="gramStart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锂</w:t>
      </w:r>
      <w:proofErr w:type="gramEnd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离子电池负极体积膨胀的问题；利用纳米聚合物缓冲层与人工固态电解质界面膜，增加电池循环寿命与安全性能；通过构筑三维纳米结构氯化物-碳纳米纤维复合载体，大幅度</w:t>
      </w:r>
      <w:proofErr w:type="gramStart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提升锂硫电池</w:t>
      </w:r>
      <w:proofErr w:type="gramEnd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容量与循环寿命。研究成果以第一作者在能源化工领域权威期刊（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Adv. Sci; J. Mater. Chem. A; Ind. Eng. Chem. Res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）正式发表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SCI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论文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3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篇（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IF&gt;20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），小修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1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篇（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Adv. Energy Mater., IF=16.721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），在审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1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篇，申请专利</w:t>
      </w:r>
      <w:r w:rsidRPr="003D3854"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  <w:t>3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项。</w:t>
      </w: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  <w:t> </w:t>
      </w:r>
    </w:p>
    <w:p w:rsidR="003D3854" w:rsidRPr="003D3854" w:rsidRDefault="003D3854" w:rsidP="003D3854">
      <w:pPr>
        <w:widowControl/>
        <w:spacing w:line="480" w:lineRule="auto"/>
        <w:ind w:firstLine="560"/>
        <w:jc w:val="left"/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  <w:t> </w:t>
      </w:r>
    </w:p>
    <w:p w:rsidR="003D3854" w:rsidRPr="003D3854" w:rsidRDefault="003D3854" w:rsidP="003D3854">
      <w:pPr>
        <w:widowControl/>
        <w:spacing w:line="480" w:lineRule="auto"/>
        <w:ind w:firstLine="562"/>
        <w:jc w:val="left"/>
        <w:rPr>
          <w:rFonts w:ascii="仿宋_GB2312" w:eastAsia="仿宋_GB2312" w:hAnsi="Times New Roman" w:cs="Times New Roman" w:hint="eastAsia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《农村学校布局调整：效率与公平的权衡——基于安徽省四个县的实地调研》</w:t>
      </w:r>
    </w:p>
    <w:p w:rsidR="00C42529" w:rsidRPr="003D3854" w:rsidRDefault="003D3854" w:rsidP="003D3854">
      <w:pPr>
        <w:widowControl/>
        <w:spacing w:line="480" w:lineRule="auto"/>
        <w:ind w:firstLine="560"/>
        <w:jc w:val="left"/>
        <w:rPr>
          <w:rFonts w:ascii="仿宋_GB2312" w:eastAsia="仿宋_GB2312" w:hAnsi="Times New Roman" w:cs="Times New Roman"/>
          <w:color w:val="333333"/>
          <w:kern w:val="0"/>
          <w:sz w:val="18"/>
          <w:szCs w:val="18"/>
        </w:rPr>
      </w:pPr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该作品以安徽省四个</w:t>
      </w:r>
      <w:proofErr w:type="gramStart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县大量</w:t>
      </w:r>
      <w:proofErr w:type="gramEnd"/>
      <w:r w:rsidRPr="003D3854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的事实案例为论证基础，客观评价在实施农村学校布局调整时取得的积极成效、特色路径和存在问题。通过建立博弈模型，从定性和定量双重视角出发分析博弈方的行为逻辑和策略选择。结合地方基础教育办学特征，设计了一套理想化撤并标准，以提供布局调整规范、促进当地基础教育均衡发展。</w:t>
      </w:r>
    </w:p>
    <w:sectPr w:rsidR="00C42529" w:rsidRPr="003D3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54"/>
    <w:rsid w:val="003D3854"/>
    <w:rsid w:val="00C4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10E0"/>
  <w15:chartTrackingRefBased/>
  <w15:docId w15:val="{E8B0DEC8-8F22-4973-859D-9540CCB6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5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2018-10-10T06:03:00Z</dcterms:created>
  <dcterms:modified xsi:type="dcterms:W3CDTF">2018-10-10T06:11:00Z</dcterms:modified>
</cp:coreProperties>
</file>